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5-</w:t>
      </w:r>
      <w:r>
        <w:rPr>
          <w:rFonts w:ascii="Times New Roman" w:eastAsia="Times New Roman" w:hAnsi="Times New Roman" w:cs="Times New Roman"/>
          <w:sz w:val="20"/>
          <w:szCs w:val="20"/>
        </w:rPr>
        <w:t>50</w:t>
      </w:r>
      <w:r>
        <w:rPr>
          <w:rFonts w:ascii="Times New Roman" w:eastAsia="Times New Roman" w:hAnsi="Times New Roman" w:cs="Times New Roman"/>
          <w:sz w:val="20"/>
          <w:szCs w:val="20"/>
        </w:rPr>
        <w:t>-200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right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widowControl w:val="0"/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ExternalSystemDefinedgrp-34rplc-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 Р.В.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 ХМАО-Югра, </w:t>
      </w:r>
      <w:r>
        <w:rPr>
          <w:rStyle w:val="cat-ExternalSystemDefinedgrp-34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1 мкр-н, дом 30), рассмотрев в открытом судебном заседании дело об административном правонарушении в отношении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Луговского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Артёма Александровича, </w:t>
      </w:r>
      <w:r>
        <w:rPr>
          <w:rStyle w:val="cat-ExternalSystemDefinedgrp-33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5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4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работающего генеральным директором ООО «Авто-Югра», зарегистрированного и проживающего по адресу: </w:t>
      </w:r>
      <w:r>
        <w:rPr>
          <w:rStyle w:val="cat-UserDefinedgrp-37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6rplc-15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6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5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>ст. 15.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 С Т А Н О В И Л: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Луговской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А.А., являясь генеральным директором ООО «Авто-Югра», зарегистрированного по адресу: ХМАО-Югра, </w:t>
      </w:r>
      <w:r>
        <w:rPr>
          <w:rStyle w:val="cat-ExternalSystemDefinedgrp-34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Промышленная зона Пионерная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НП</w:t>
      </w:r>
      <w:r>
        <w:rPr>
          <w:rFonts w:ascii="Times New Roman" w:eastAsia="Times New Roman" w:hAnsi="Times New Roman" w:cs="Times New Roman"/>
          <w:sz w:val="26"/>
          <w:szCs w:val="26"/>
        </w:rPr>
        <w:t>, ул. Набережная, 13/1, 190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 нарушение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 5 ст. 93.1 НК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eastAsia="Times New Roman" w:hAnsi="Times New Roman" w:cs="Times New Roman"/>
          <w:sz w:val="26"/>
          <w:szCs w:val="26"/>
        </w:rPr>
        <w:t>13.04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налоговый орган по месту учета – межрайонную ИФНС России № 7 по Ханты-Мансийскому автономному округу – Югре, документы по требованию № </w:t>
      </w:r>
      <w:r>
        <w:rPr>
          <w:rStyle w:val="cat-UserDefinedgrp-39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21.03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, выставленному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«Авто-Югра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в рамках проведения выездной налоговой проверки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Сервискомплектавтотранс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Документы по требованию № </w:t>
      </w:r>
      <w:r>
        <w:rPr>
          <w:rStyle w:val="cat-UserDefinedgrp-39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21.03.2023 </w:t>
      </w:r>
      <w:r>
        <w:rPr>
          <w:rFonts w:ascii="Times New Roman" w:eastAsia="Times New Roman" w:hAnsi="Times New Roman" w:cs="Times New Roman"/>
          <w:sz w:val="26"/>
          <w:szCs w:val="26"/>
        </w:rPr>
        <w:t>не представлены, уведомление о невозможности представления документов и информации в установленный срок не поступало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Луговской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., извещенн</w:t>
      </w:r>
      <w:r>
        <w:rPr>
          <w:rFonts w:ascii="Times New Roman" w:eastAsia="Times New Roman" w:hAnsi="Times New Roman" w:cs="Times New Roman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судом о времени и месте рассмотрения дела надлежащим образом,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судебное заседание не явился</w:t>
      </w:r>
      <w:r>
        <w:rPr>
          <w:rFonts w:ascii="Times New Roman" w:eastAsia="Times New Roman" w:hAnsi="Times New Roman" w:cs="Times New Roman"/>
          <w:sz w:val="26"/>
          <w:szCs w:val="26"/>
        </w:rPr>
        <w:t>, о причинах неявк</w:t>
      </w:r>
      <w:r>
        <w:rPr>
          <w:rFonts w:ascii="Times New Roman" w:eastAsia="Times New Roman" w:hAnsi="Times New Roman" w:cs="Times New Roman"/>
          <w:sz w:val="26"/>
          <w:szCs w:val="26"/>
        </w:rPr>
        <w:t>и суду не сообщил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Луговск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в 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отсутствие.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судья, исследовав материалы дела, считает, что вина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генерального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директора </w:t>
      </w:r>
      <w:r>
        <w:rPr>
          <w:rFonts w:ascii="Times New Roman" w:eastAsia="Times New Roman" w:hAnsi="Times New Roman" w:cs="Times New Roman"/>
          <w:sz w:val="26"/>
          <w:szCs w:val="26"/>
        </w:rPr>
        <w:t>Луговско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>.09.2023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 </w:t>
      </w:r>
      <w:r>
        <w:rPr>
          <w:rFonts w:ascii="Times New Roman" w:eastAsia="Times New Roman" w:hAnsi="Times New Roman" w:cs="Times New Roman"/>
          <w:sz w:val="26"/>
          <w:szCs w:val="26"/>
        </w:rPr>
        <w:t>Луговской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срок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налоговый орган по месту учета – межрайонную ИФНС России № 7 по Ханты-Мансийскому автономному округу – Югре, документы по требованию № </w:t>
      </w:r>
      <w:r>
        <w:rPr>
          <w:rStyle w:val="cat-UserDefinedgrp-39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21.03.2023</w:t>
      </w:r>
      <w:r>
        <w:rPr>
          <w:rFonts w:ascii="Times New Roman" w:eastAsia="Times New Roman" w:hAnsi="Times New Roman" w:cs="Times New Roman"/>
          <w:sz w:val="26"/>
          <w:szCs w:val="26"/>
        </w:rPr>
        <w:t>, выставленному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 «Авто-Югра</w:t>
      </w:r>
      <w:r>
        <w:rPr>
          <w:rFonts w:ascii="Times New Roman" w:eastAsia="Times New Roman" w:hAnsi="Times New Roman" w:cs="Times New Roman"/>
          <w:sz w:val="26"/>
          <w:szCs w:val="26"/>
        </w:rPr>
        <w:t>» в рамках проведения выездной налоговой проверки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ООО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Сервискомплектавтотранс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уведомлением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времени, дате и месте составления протокола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09.08.2023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списком внутренних почтовых </w:t>
      </w:r>
      <w:r>
        <w:rPr>
          <w:rFonts w:ascii="Times New Roman" w:eastAsia="Times New Roman" w:hAnsi="Times New Roman" w:cs="Times New Roman"/>
          <w:sz w:val="26"/>
          <w:szCs w:val="26"/>
        </w:rPr>
        <w:t>отправлений о направлении уведомленияо месте и времени составления протокола, отчетом об отслеживании отправления с почтовым идентификатором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списком внутренних почтовых отправлений о направлении копии протокола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требования № </w:t>
      </w:r>
      <w:r>
        <w:rPr>
          <w:rStyle w:val="cat-UserDefinedgrp-39rplc-4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21.03.2023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поручения № </w:t>
      </w:r>
      <w:r>
        <w:rPr>
          <w:rStyle w:val="cat-UserDefinedgrp-40rplc-4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17.03.2023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выпиской из Единого государственного реестра юридических лиц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ООО «Авто-Югра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Согласно п. 4 ст. 31 НК РФ, документы, используемые налоговымиорганами при реализации своих полномочий в отношениях, регулируемых законодательством о налогах и сборах, могут быть переданы налоговым органом лицу, которому они адресованы, или его представителю непосредственно под расписку, направлены по почте заказным письмом или переданы в электронной форме по телекоммуникационным каналам связи через оператора электронного документооборота.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пункту 1 статьи 93.1 НК РФ, должностное лицо налогового органа, проводящее налоговую проверку, вправе истребовать у контрагента или у иных лиц, располагающих документами (информацией), касающимися деятельности проверяемого налогоплательщика (плательщика сбора, плательщика страховых взносов, налогового агента), эти документы (информацию).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подп. 1 п. 5 ст. 93.1 НК РФ, лицо, получившее требование о представлении документов (информации) в соответствии с пунктами 1 и 1.1 настоящей статьи, исполняет его в течение пяти дней со дня получения или в тот же срок уведомляет, что не располагает </w:t>
      </w:r>
      <w:r>
        <w:rPr>
          <w:rFonts w:ascii="Times New Roman" w:eastAsia="Times New Roman" w:hAnsi="Times New Roman" w:cs="Times New Roman"/>
          <w:sz w:val="26"/>
          <w:szCs w:val="26"/>
        </w:rPr>
        <w:t>истребуемыми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документами (информацией).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Если </w:t>
      </w:r>
      <w:r>
        <w:rPr>
          <w:rFonts w:ascii="Times New Roman" w:eastAsia="Times New Roman" w:hAnsi="Times New Roman" w:cs="Times New Roman"/>
          <w:sz w:val="26"/>
          <w:szCs w:val="26"/>
        </w:rPr>
        <w:t>истребуемые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документы (информация) не могут быть представлены в указанный срок, налоговый орган при получении от лица, у которого истребованы документы (информация), уведомления о невозможности представления в установленный срок документов (информации), вправе продлить срок представления этих документов (информации).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Доказательства неправомерности требований налоговой инспекции либо уведомление налогового органа о невозможности представления документов в установленный срок материалы дела не содержат.</w:t>
      </w:r>
    </w:p>
    <w:p>
      <w:pPr>
        <w:widowControl w:val="0"/>
        <w:tabs>
          <w:tab w:val="left" w:pos="142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 7 ст. 3 Федерального закона от 06.12.2011 года № 402-ФЗ «О бухгалтерском учете» определено, что руководитель экономического субъекта – лицо, являющееся единоличным исполнительным органом экономического субъекта, либо лицо, ответственное за ведение дел экономического субъекта, либо управляющий, которому переданы функции единоличного исполнительного органа.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Согласно ч.1 ст. 7 Федерального закона от 06.12.2011 года № 402-ФЗ «О бухгалтерском учете», ведение бухгалтерского учета и хранение документов бухгалтерского учёта организуется руководителем экономического субъекта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tabs>
          <w:tab w:val="left" w:pos="567"/>
        </w:tabs>
        <w:spacing w:before="0" w:after="0"/>
        <w:ind w:left="20" w:right="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лица </w:t>
      </w:r>
      <w:r>
        <w:rPr>
          <w:rFonts w:ascii="Times New Roman" w:eastAsia="Times New Roman" w:hAnsi="Times New Roman" w:cs="Times New Roman"/>
          <w:sz w:val="26"/>
          <w:szCs w:val="26"/>
        </w:rPr>
        <w:t>Луговско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ч. 1 ст. 15.6 Кодекса Российской Федерации об административных правонарушениях, как 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контроля, за исключением случаев, предусмотренных частью 2 настоящей статьи.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учитывает характер совершенного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Луговско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его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 в соответствии со ст.ст. 4.2, 4.3 Кодекса Российской Федерации об административных правонарушениях, мировой судья не находит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 учётом изложенного, руководствуясь ст.ст. 29.9 ч.1, 29.10, 30.1 Кодекса Российской Федерации об административных правонарушениях, мировой судья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генерального директора ООО «Авто-Югра» </w:t>
      </w:r>
      <w:r>
        <w:rPr>
          <w:rFonts w:ascii="Times New Roman" w:eastAsia="Times New Roman" w:hAnsi="Times New Roman" w:cs="Times New Roman"/>
          <w:sz w:val="26"/>
          <w:szCs w:val="26"/>
        </w:rPr>
        <w:t>Луговского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Артёма Александровича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виновн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ым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ч.1 ст. 15.6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триста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tabs>
          <w:tab w:val="left" w:pos="284"/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подлежит уплате на счет: 03100643000000018700, Получатель платежа: УФК по ХМАО-Югре (Департамент административного обеспечения Ханты-Мансийского автономного округа - Югры, л/с 04872D08080), ИНН: 8601056281, КПП: 860101001, наименование банка: РКЦ ХАНТЫ-МАНСИЙСК//УФК по ХМАО-Югре г. Ханты-Мансийск//УФК по ХМАО-Югре, БИК: 007162163, </w:t>
      </w:r>
      <w:r>
        <w:rPr>
          <w:rFonts w:ascii="Times New Roman" w:eastAsia="Times New Roman" w:hAnsi="Times New Roman" w:cs="Times New Roman"/>
          <w:sz w:val="26"/>
          <w:szCs w:val="26"/>
        </w:rPr>
        <w:t>Кор.сч</w:t>
      </w:r>
      <w:r>
        <w:rPr>
          <w:rFonts w:ascii="Times New Roman" w:eastAsia="Times New Roman" w:hAnsi="Times New Roman" w:cs="Times New Roman"/>
          <w:sz w:val="26"/>
          <w:szCs w:val="26"/>
        </w:rPr>
        <w:t>. 40102810245370000007, КБК 72011601153010006140, ОКТМО: 71874000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0412365400395016802315150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шестидесяти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за неуплату административного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</w:t>
      </w:r>
      <w:r>
        <w:rPr>
          <w:rFonts w:ascii="Times New Roman" w:eastAsia="Times New Roman" w:hAnsi="Times New Roman" w:cs="Times New Roman"/>
          <w:sz w:val="26"/>
          <w:szCs w:val="26"/>
        </w:rPr>
        <w:t>срок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tabs>
          <w:tab w:val="left" w:pos="6285"/>
        </w:tabs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ind w:left="156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tabs>
          <w:tab w:val="left" w:pos="5490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4rplc-1">
    <w:name w:val="cat-ExternalSystemDefined grp-34 rplc-1"/>
    <w:basedOn w:val="DefaultParagraphFont"/>
  </w:style>
  <w:style w:type="character" w:customStyle="1" w:styleId="cat-ExternalSystemDefinedgrp-34rplc-6">
    <w:name w:val="cat-ExternalSystemDefined grp-34 rplc-6"/>
    <w:basedOn w:val="DefaultParagraphFont"/>
  </w:style>
  <w:style w:type="character" w:customStyle="1" w:styleId="cat-ExternalSystemDefinedgrp-33rplc-8">
    <w:name w:val="cat-ExternalSystemDefined grp-33 rplc-8"/>
    <w:basedOn w:val="DefaultParagraphFont"/>
  </w:style>
  <w:style w:type="character" w:customStyle="1" w:styleId="cat-PassportDatagrp-25rplc-9">
    <w:name w:val="cat-PassportData grp-25 rplc-9"/>
    <w:basedOn w:val="DefaultParagraphFont"/>
  </w:style>
  <w:style w:type="character" w:customStyle="1" w:styleId="cat-ExternalSystemDefinedgrp-34rplc-10">
    <w:name w:val="cat-ExternalSystemDefined grp-34 rplc-10"/>
    <w:basedOn w:val="DefaultParagraphFont"/>
  </w:style>
  <w:style w:type="character" w:customStyle="1" w:styleId="cat-UserDefinedgrp-37rplc-12">
    <w:name w:val="cat-UserDefined grp-37 rplc-12"/>
    <w:basedOn w:val="DefaultParagraphFont"/>
  </w:style>
  <w:style w:type="character" w:customStyle="1" w:styleId="cat-PassportDatagrp-26rplc-15">
    <w:name w:val="cat-PassportData grp-26 rplc-15"/>
    <w:basedOn w:val="DefaultParagraphFont"/>
  </w:style>
  <w:style w:type="character" w:customStyle="1" w:styleId="cat-ExternalSystemDefinedgrp-36rplc-16">
    <w:name w:val="cat-ExternalSystemDefined grp-36 rplc-16"/>
    <w:basedOn w:val="DefaultParagraphFont"/>
  </w:style>
  <w:style w:type="character" w:customStyle="1" w:styleId="cat-ExternalSystemDefinedgrp-35rplc-17">
    <w:name w:val="cat-ExternalSystemDefined grp-35 rplc-17"/>
    <w:basedOn w:val="DefaultParagraphFont"/>
  </w:style>
  <w:style w:type="character" w:customStyle="1" w:styleId="cat-ExternalSystemDefinedgrp-34rplc-20">
    <w:name w:val="cat-ExternalSystemDefined grp-34 rplc-20"/>
    <w:basedOn w:val="DefaultParagraphFont"/>
  </w:style>
  <w:style w:type="character" w:customStyle="1" w:styleId="cat-UserDefinedgrp-39rplc-25">
    <w:name w:val="cat-UserDefined grp-39 rplc-25"/>
    <w:basedOn w:val="DefaultParagraphFont"/>
  </w:style>
  <w:style w:type="character" w:customStyle="1" w:styleId="cat-UserDefinedgrp-39rplc-29">
    <w:name w:val="cat-UserDefined grp-39 rplc-29"/>
    <w:basedOn w:val="DefaultParagraphFont"/>
  </w:style>
  <w:style w:type="character" w:customStyle="1" w:styleId="cat-UserDefinedgrp-38rplc-36">
    <w:name w:val="cat-UserDefined grp-38 rplc-36"/>
    <w:basedOn w:val="DefaultParagraphFont"/>
  </w:style>
  <w:style w:type="character" w:customStyle="1" w:styleId="cat-UserDefinedgrp-39rplc-40">
    <w:name w:val="cat-UserDefined grp-39 rplc-40"/>
    <w:basedOn w:val="DefaultParagraphFont"/>
  </w:style>
  <w:style w:type="character" w:customStyle="1" w:styleId="cat-UserDefinedgrp-39rplc-45">
    <w:name w:val="cat-UserDefined grp-39 rplc-45"/>
    <w:basedOn w:val="DefaultParagraphFont"/>
  </w:style>
  <w:style w:type="character" w:customStyle="1" w:styleId="cat-UserDefinedgrp-40rplc-47">
    <w:name w:val="cat-UserDefined grp-40 rplc-47"/>
    <w:basedOn w:val="DefaultParagraphFont"/>
  </w:style>
  <w:style w:type="character" w:customStyle="1" w:styleId="cat-UserDefinedgrp-41rplc-64">
    <w:name w:val="cat-UserDefined grp-41 rplc-64"/>
    <w:basedOn w:val="DefaultParagraphFont"/>
  </w:style>
  <w:style w:type="character" w:customStyle="1" w:styleId="cat-UserDefinedgrp-42rplc-67">
    <w:name w:val="cat-UserDefined grp-42 rplc-6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